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57" w:rsidRPr="00CA27D1" w:rsidRDefault="00D46F57" w:rsidP="00D46F57">
      <w:pPr>
        <w:spacing w:line="276" w:lineRule="auto"/>
        <w:jc w:val="right"/>
      </w:pPr>
    </w:p>
    <w:p w:rsidR="00D46F57" w:rsidRDefault="00D46F57" w:rsidP="00D46F57">
      <w:pPr>
        <w:pStyle w:val="Nagwek"/>
        <w:ind w:left="4248"/>
        <w:jc w:val="both"/>
        <w:rPr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F57" w:rsidRDefault="00D46F57" w:rsidP="00D46F57">
      <w:pPr>
        <w:pStyle w:val="Nagwek"/>
        <w:ind w:left="4248"/>
        <w:jc w:val="both"/>
        <w:rPr>
          <w:sz w:val="20"/>
          <w:lang w:val="pl-PL"/>
        </w:rPr>
      </w:pPr>
    </w:p>
    <w:p w:rsidR="00D46F57" w:rsidRDefault="00D46F57" w:rsidP="00D46F57">
      <w:pPr>
        <w:pStyle w:val="Nagwek"/>
        <w:ind w:left="4248"/>
        <w:jc w:val="both"/>
        <w:rPr>
          <w:sz w:val="20"/>
          <w:lang w:val="pl-PL"/>
        </w:rPr>
      </w:pPr>
    </w:p>
    <w:p w:rsidR="00D46F57" w:rsidRPr="004121C6" w:rsidRDefault="00D46F57" w:rsidP="00D46F57">
      <w:pPr>
        <w:pStyle w:val="Nagwek"/>
        <w:ind w:left="4248"/>
        <w:jc w:val="both"/>
        <w:rPr>
          <w:sz w:val="20"/>
          <w:lang w:val="pl-PL"/>
        </w:rPr>
      </w:pPr>
    </w:p>
    <w:p w:rsidR="00D46F57" w:rsidRPr="004121C6" w:rsidRDefault="00D46F57" w:rsidP="00D46F57">
      <w:pPr>
        <w:pStyle w:val="Nagwek"/>
        <w:rPr>
          <w:b/>
          <w:lang w:val="pl-PL"/>
        </w:rPr>
      </w:pPr>
      <w:r w:rsidRPr="004121C6">
        <w:rPr>
          <w:b/>
          <w:lang w:val="pl-PL"/>
        </w:rPr>
        <w:t>BEZPIECZNA PRZYSTAŃ</w:t>
      </w:r>
    </w:p>
    <w:p w:rsidR="00D46F57" w:rsidRPr="004121C6" w:rsidRDefault="00D46F57" w:rsidP="00D46F57">
      <w:pPr>
        <w:pStyle w:val="Nagwek"/>
        <w:rPr>
          <w:lang w:val="pl-PL"/>
        </w:rPr>
      </w:pPr>
    </w:p>
    <w:p w:rsidR="00D46F57" w:rsidRPr="00D46F57" w:rsidRDefault="005C1136" w:rsidP="00D46F57">
      <w:pPr>
        <w:spacing w:before="360" w:after="360"/>
        <w:jc w:val="right"/>
      </w:pPr>
      <w:r>
        <w:t>Załącznik nr 2</w:t>
      </w:r>
      <w:r w:rsidR="00D46F57">
        <w:t xml:space="preserve"> do zapytania ofertowego</w:t>
      </w:r>
    </w:p>
    <w:p w:rsidR="00D46F57" w:rsidRDefault="00D46F57" w:rsidP="00D46F57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Tekst </w:t>
      </w:r>
      <w:r w:rsidR="005C1136">
        <w:rPr>
          <w:b/>
          <w:sz w:val="22"/>
          <w:szCs w:val="22"/>
        </w:rPr>
        <w:t>referencyjny</w:t>
      </w:r>
    </w:p>
    <w:p w:rsidR="005C1136" w:rsidRPr="00F631B4" w:rsidRDefault="005C1136" w:rsidP="005C113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W celu wykazania zdolności do wykonania przedmiotu zamówienia, należy przetłumaczyć poniższy tekst i tłumaczenie dołączyć do oferty. Tekst należy przetłumaczyuć na każdy z języków obcych, które Wykonawca deklaruje w ofercie. </w:t>
      </w:r>
    </w:p>
    <w:p w:rsidR="00F84BD4" w:rsidRDefault="00F84BD4" w:rsidP="005C1136">
      <w:pPr>
        <w:jc w:val="both"/>
      </w:pPr>
    </w:p>
    <w:p w:rsidR="00D46F57" w:rsidRDefault="00D46F57"/>
    <w:p w:rsidR="0051048D" w:rsidRDefault="0051048D">
      <w:pPr>
        <w:pBdr>
          <w:bottom w:val="double" w:sz="6" w:space="1" w:color="auto"/>
        </w:pBdr>
      </w:pPr>
    </w:p>
    <w:p w:rsidR="005C1136" w:rsidRDefault="005C1136"/>
    <w:p w:rsidR="005C1136" w:rsidRDefault="005C1136">
      <w:pPr>
        <w:pBdr>
          <w:bottom w:val="single" w:sz="6" w:space="1" w:color="auto"/>
        </w:pBdr>
      </w:pPr>
    </w:p>
    <w:p w:rsidR="00BB6C77" w:rsidRDefault="00BB6C77" w:rsidP="00BB6C77">
      <w:pPr>
        <w:rPr>
          <w:b/>
          <w:sz w:val="28"/>
          <w:szCs w:val="28"/>
        </w:rPr>
      </w:pPr>
    </w:p>
    <w:p w:rsidR="00BB6C77" w:rsidRDefault="00BB6C77" w:rsidP="00BB6C77">
      <w:pPr>
        <w:rPr>
          <w:b/>
          <w:sz w:val="28"/>
          <w:szCs w:val="28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118"/>
        <w:gridCol w:w="3119"/>
        <w:gridCol w:w="3118"/>
      </w:tblGrid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</w:rPr>
            </w:pPr>
            <w:r w:rsidRPr="00E823FE">
              <w:rPr>
                <w:b/>
                <w:sz w:val="28"/>
                <w:szCs w:val="28"/>
              </w:rPr>
              <w:t>WERSJA POLSKA</w:t>
            </w: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</w:rPr>
            </w:pPr>
            <w:r w:rsidRPr="00E823FE">
              <w:rPr>
                <w:b/>
                <w:sz w:val="28"/>
                <w:szCs w:val="28"/>
              </w:rPr>
              <w:t>WERSJA ANGIELSKA</w:t>
            </w: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</w:rPr>
            </w:pPr>
            <w:r w:rsidRPr="00E823FE">
              <w:rPr>
                <w:b/>
                <w:sz w:val="28"/>
                <w:szCs w:val="28"/>
              </w:rPr>
              <w:t>WERSJAROSYJSKA</w:t>
            </w: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</w:rPr>
            </w:pPr>
            <w:r w:rsidRPr="00E823FE">
              <w:rPr>
                <w:b/>
                <w:sz w:val="28"/>
                <w:szCs w:val="28"/>
              </w:rPr>
              <w:t>WERSJA UKRAIŃSKA</w:t>
            </w: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  <w:r w:rsidRPr="00E823FE"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Złóż wniosek</w:t>
            </w:r>
            <w:r w:rsidRPr="00E823FE">
              <w:rPr>
                <w:rFonts w:ascii="Times New Roman" w:hAnsi="Times New Roman"/>
                <w:b w:val="0"/>
                <w:i w:val="0"/>
                <w:color w:val="000000"/>
                <w:sz w:val="22"/>
                <w:lang w:val="pl-PL"/>
              </w:rPr>
              <w:t xml:space="preserve"> </w:t>
            </w:r>
            <w:r w:rsidRPr="00E823FE"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przez internet</w:t>
            </w:r>
          </w:p>
          <w:p w:rsidR="00BB6C77" w:rsidRPr="00886451" w:rsidRDefault="00886451" w:rsidP="00AB34E6">
            <w:pPr>
              <w:rPr>
                <w:color w:val="000000"/>
                <w:sz w:val="22"/>
                <w:lang w:eastAsia="x-none"/>
              </w:rPr>
            </w:pPr>
            <w:r>
              <w:rPr>
                <w:color w:val="000000"/>
                <w:sz w:val="22"/>
                <w:lang w:eastAsia="x-none"/>
              </w:rPr>
              <w:t>Przejdź do serwisu</w:t>
            </w:r>
          </w:p>
        </w:tc>
        <w:tc>
          <w:tcPr>
            <w:tcW w:w="3118" w:type="dxa"/>
            <w:shd w:val="clear" w:color="auto" w:fill="auto"/>
          </w:tcPr>
          <w:p w:rsidR="00BB6C77" w:rsidRPr="00BB6C77" w:rsidRDefault="00BB6C77" w:rsidP="00AB34E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BB6C77" w:rsidRDefault="00BB6C77" w:rsidP="00AB34E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Aktualności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System rezerwacji wizyt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Cudzoziemcy pobyt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Cudzoziemcy praca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Zaproszenia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Dokumenty do pobrania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FAQ</w:t>
            </w:r>
          </w:p>
          <w:p w:rsidR="00BB6C77" w:rsidRPr="00886451" w:rsidRDefault="00886451" w:rsidP="00AB34E6">
            <w:pPr>
              <w:rPr>
                <w:color w:val="000000"/>
                <w:sz w:val="22"/>
                <w:lang w:eastAsia="x-none"/>
              </w:rPr>
            </w:pPr>
            <w:r>
              <w:rPr>
                <w:color w:val="000000"/>
                <w:sz w:val="22"/>
                <w:lang w:eastAsia="x-none"/>
              </w:rPr>
              <w:t>Kontakt</w:t>
            </w: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36"/>
              </w:rPr>
            </w:pPr>
            <w:r w:rsidRPr="00E823FE"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lastRenderedPageBreak/>
              <w:t xml:space="preserve">Cudzoziemcy pobyt 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7" w:tooltip="Zezwolenia na pobyt czasowy" w:history="1">
              <w:r w:rsidRPr="00E823FE">
                <w:rPr>
                  <w:rStyle w:val="Hipercze"/>
                  <w:color w:val="000000"/>
                  <w:sz w:val="22"/>
                </w:rPr>
                <w:t>Zezwolenia na pobyt czasowy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8" w:tooltip="Zezwolenia na pobyt stały" w:history="1">
              <w:r w:rsidRPr="00E823FE">
                <w:rPr>
                  <w:rStyle w:val="Hipercze"/>
                  <w:color w:val="000000"/>
                  <w:sz w:val="22"/>
                </w:rPr>
                <w:t>Zezwolenia na pobyt stały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9" w:tooltip="Pobyt stały - Karta Polaka" w:history="1">
              <w:r w:rsidRPr="00E823FE">
                <w:rPr>
                  <w:rStyle w:val="Hipercze"/>
                  <w:color w:val="000000"/>
                  <w:sz w:val="22"/>
                </w:rPr>
                <w:t>Pobyt stały - Karta Polaka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0" w:tooltip="Karta Polaka - świadczenia pieniężne" w:history="1">
              <w:r w:rsidRPr="00E823FE">
                <w:rPr>
                  <w:rStyle w:val="Hipercze"/>
                  <w:color w:val="000000"/>
                  <w:sz w:val="22"/>
                </w:rPr>
                <w:t>Karta Polaka - świadczenia pieniężne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1" w:tooltip="Zezwolenie na pobyt rezydenta długoterminowego UE" w:history="1">
              <w:r w:rsidRPr="00E823FE">
                <w:rPr>
                  <w:rStyle w:val="Hipercze"/>
                  <w:color w:val="000000"/>
                  <w:sz w:val="22"/>
                </w:rPr>
                <w:t>Zezwolenie na pobyt rezydenta długoterminowego UE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2" w:tooltip="Przedłużenie Wizy Krajowej / Schengen" w:history="1">
              <w:r w:rsidRPr="00E823FE">
                <w:rPr>
                  <w:rStyle w:val="Hipercze"/>
                  <w:color w:val="000000"/>
                  <w:sz w:val="22"/>
                </w:rPr>
                <w:t>Przedłużenie Wizy Krajowej / Schengen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3" w:tooltip="Wydanie/ wymiana karty pobytu" w:history="1">
              <w:r w:rsidRPr="00E823FE">
                <w:rPr>
                  <w:rStyle w:val="Hipercze"/>
                  <w:color w:val="000000"/>
                  <w:sz w:val="22"/>
                </w:rPr>
                <w:t>Wydanie/ wymiana karty pobytu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4" w:tooltip="Rejestracja pobytu obywatela Unii Europejskiej" w:history="1">
              <w:r w:rsidRPr="00E823FE">
                <w:rPr>
                  <w:rStyle w:val="Hipercze"/>
                  <w:color w:val="000000"/>
                  <w:sz w:val="22"/>
                </w:rPr>
                <w:t>Rejestracja pobytu obywatela Unii Europejskiej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5" w:tooltip="Prawo stałego pobytu obywatela Unii Europejskiej" w:history="1">
              <w:r w:rsidRPr="00E823FE">
                <w:rPr>
                  <w:rStyle w:val="Hipercze"/>
                  <w:color w:val="000000"/>
                  <w:sz w:val="22"/>
                </w:rPr>
                <w:t>Prawo stałego pobytu obywatela Unii Europejskiej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6" w:tooltip="Polskie dokumenty wydawane Cudzoziemcom" w:history="1">
              <w:r w:rsidRPr="00E823FE">
                <w:rPr>
                  <w:rStyle w:val="Hipercze"/>
                  <w:color w:val="000000"/>
                  <w:sz w:val="22"/>
                </w:rPr>
                <w:t>Polskie dokumenty wydawane Cudzoziemcom</w:t>
              </w:r>
            </w:hyperlink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hyperlink r:id="rId17" w:tooltip="Otrzymanie pieczątki do paszportu" w:history="1">
              <w:r w:rsidRPr="00E823FE">
                <w:rPr>
                  <w:rStyle w:val="Hipercze"/>
                  <w:color w:val="000000"/>
                  <w:sz w:val="22"/>
                </w:rPr>
                <w:t>Otrzymanie pieczątki do paszportu</w:t>
              </w:r>
            </w:hyperlink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BB6C77" w:rsidRDefault="00BB6C77" w:rsidP="00AB34E6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ru-RU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Cudzoziemcy praca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Zezwolenie na pracę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  <w:lang w:eastAsia="x-none"/>
              </w:rPr>
            </w:pPr>
            <w:r w:rsidRPr="00E823FE">
              <w:rPr>
                <w:color w:val="000000"/>
                <w:sz w:val="22"/>
                <w:lang w:eastAsia="x-none"/>
              </w:rPr>
              <w:t>Przedłużenie zezwolenia na pracę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BB6C77" w:rsidRDefault="00BB6C77" w:rsidP="00AB34E6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ru-RU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36"/>
              </w:rPr>
            </w:pPr>
            <w:r w:rsidRPr="00E823FE"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Zaproszenia 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val="ru-RU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uk-UA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E823FE">
              <w:rPr>
                <w:rStyle w:val="Pogrubienie"/>
                <w:rFonts w:ascii="Times New Roman" w:hAnsi="Times New Roman"/>
                <w:b w:val="0"/>
                <w:color w:val="000000"/>
                <w:sz w:val="22"/>
              </w:rPr>
              <w:t>Opłaty skarbowe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wpis do ewidencji zaproszeń 27,-zł</w:t>
            </w:r>
          </w:p>
          <w:p w:rsidR="00BB6C77" w:rsidRPr="00886451" w:rsidRDefault="00BB6C77" w:rsidP="00886451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pełnomocnictw</w:t>
            </w:r>
            <w:r w:rsidR="00886451">
              <w:rPr>
                <w:color w:val="000000"/>
                <w:sz w:val="22"/>
              </w:rPr>
              <w:t>o 17,-zł</w:t>
            </w: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uk-UA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E823FE">
              <w:rPr>
                <w:rFonts w:ascii="Times New Roman" w:hAnsi="Times New Roman"/>
                <w:color w:val="000000"/>
                <w:sz w:val="22"/>
              </w:rPr>
              <w:t>Uwaga: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Beneficjentem opłat skarbowych jest Urząd Miasta Wrocławia.</w:t>
            </w:r>
          </w:p>
          <w:p w:rsidR="007D57B5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Opłatę skarbową należy wpłacać  na konto: Gmina Wrocław Plac Nowy Targ 1-8</w:t>
            </w:r>
            <w:r w:rsidR="007D57B5">
              <w:rPr>
                <w:color w:val="000000"/>
                <w:sz w:val="22"/>
              </w:rPr>
              <w:t>,</w:t>
            </w:r>
            <w:r w:rsidRPr="00E823FE">
              <w:rPr>
                <w:color w:val="000000"/>
                <w:sz w:val="22"/>
              </w:rPr>
              <w:t xml:space="preserve"> 50-141 Wrocław 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bookmarkStart w:id="0" w:name="_GoBack"/>
            <w:bookmarkEnd w:id="0"/>
            <w:r w:rsidRPr="00E823FE">
              <w:rPr>
                <w:color w:val="000000"/>
                <w:sz w:val="22"/>
              </w:rPr>
              <w:lastRenderedPageBreak/>
              <w:t>Opłat można dokonać również w kasie Dolnośląskiego Urzędu Wojewódzkiego we Wrocławiu.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uk-UA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rPr>
                <w:color w:val="000000"/>
                <w:sz w:val="22"/>
                <w:lang w:val="ru-RU" w:eastAsia="x-none"/>
              </w:rPr>
            </w:pPr>
            <w:r w:rsidRPr="00E823FE">
              <w:rPr>
                <w:rStyle w:val="Pogrubienie"/>
                <w:b w:val="0"/>
                <w:color w:val="000000"/>
                <w:sz w:val="22"/>
              </w:rPr>
              <w:lastRenderedPageBreak/>
              <w:t>Wpisanie zaproszenia do ewidencji zaproszeń</w:t>
            </w:r>
            <w:r w:rsidRPr="00E823FE">
              <w:rPr>
                <w:color w:val="000000"/>
                <w:sz w:val="22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uk-UA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E823FE">
              <w:rPr>
                <w:rStyle w:val="Pogrubienie"/>
                <w:rFonts w:ascii="Times New Roman" w:hAnsi="Times New Roman"/>
                <w:b w:val="0"/>
                <w:color w:val="000000"/>
                <w:sz w:val="22"/>
              </w:rPr>
              <w:t>Sprawdź czy zaproszenie jest do odbioru</w:t>
            </w:r>
          </w:p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E823FE">
              <w:rPr>
                <w:rFonts w:ascii="Times New Roman" w:hAnsi="Times New Roman"/>
                <w:color w:val="000000"/>
                <w:sz w:val="22"/>
              </w:rPr>
              <w:t xml:space="preserve">Informację czy zaproszenie jest do odbioru można uzyskać dzwoniąc na numer Infolniii Wydziału Spraw Obywatelskich i Cudzoziemców </w:t>
            </w:r>
            <w:r w:rsidRPr="00E823FE">
              <w:rPr>
                <w:rStyle w:val="Pogrubienie"/>
                <w:rFonts w:ascii="Times New Roman" w:hAnsi="Times New Roman"/>
                <w:b w:val="0"/>
                <w:color w:val="000000"/>
                <w:sz w:val="22"/>
              </w:rPr>
              <w:t>0 801 43 00 86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ind w:left="720"/>
              <w:rPr>
                <w:rFonts w:ascii="Arial Nova" w:hAnsi="Arial Nova"/>
                <w:lang w:val="ru-RU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E823FE">
              <w:rPr>
                <w:rStyle w:val="Pogrubienie"/>
                <w:rFonts w:ascii="Times New Roman" w:hAnsi="Times New Roman"/>
                <w:b w:val="0"/>
                <w:color w:val="000000"/>
                <w:sz w:val="22"/>
              </w:rPr>
              <w:t>Biuro Obsługi Klienta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Cudzoziemcy: 801 43 00 86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Dla dzwoniących z zagranicy: +48 717 261 585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Infolinia DUW: 222 500 124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Infolinia paszportowa: 75 722 94 49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Infolinia centralna: 222 500 115</w:t>
            </w:r>
          </w:p>
          <w:p w:rsidR="00BB6C77" w:rsidRPr="00E823FE" w:rsidRDefault="00BB6C77" w:rsidP="00AB34E6">
            <w:pPr>
              <w:ind w:left="720"/>
              <w:rPr>
                <w:color w:val="000000"/>
                <w:sz w:val="22"/>
              </w:rPr>
            </w:pPr>
            <w:r w:rsidRPr="00E823FE">
              <w:rPr>
                <w:color w:val="000000"/>
                <w:sz w:val="22"/>
              </w:rPr>
              <w:t>e-mail: info@duw.pl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val="ru-RU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shd w:val="clear" w:color="auto" w:fill="FFFFFF"/>
              <w:rPr>
                <w:rFonts w:ascii="Arial Nova" w:hAnsi="Arial Nova"/>
                <w:lang w:val="ru-RU"/>
              </w:rPr>
            </w:pPr>
          </w:p>
        </w:tc>
      </w:tr>
      <w:tr w:rsidR="00886451" w:rsidRPr="00E823FE" w:rsidTr="007D57B5">
        <w:tc>
          <w:tcPr>
            <w:tcW w:w="4253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E823FE">
              <w:rPr>
                <w:rStyle w:val="Uwydatnienie"/>
                <w:rFonts w:ascii="Times New Roman" w:hAnsi="Times New Roman"/>
                <w:i w:val="0"/>
                <w:color w:val="000000"/>
                <w:sz w:val="22"/>
              </w:rPr>
              <w:t>Opłata za połączenie zgodna z cennikiem/taryfą operatora osoby dzwoniącej.</w:t>
            </w:r>
          </w:p>
          <w:p w:rsidR="00BB6C77" w:rsidRPr="00E823FE" w:rsidRDefault="00BB6C77" w:rsidP="00AB34E6">
            <w:pPr>
              <w:rPr>
                <w:color w:val="000000"/>
                <w:sz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0E18BC" w:rsidRDefault="00BB6C77" w:rsidP="00AB34E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6C77" w:rsidRPr="00E823FE" w:rsidRDefault="00BB6C77" w:rsidP="00AB34E6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B6C77" w:rsidRPr="00E823FE" w:rsidRDefault="00BB6C77" w:rsidP="00AB34E6">
            <w:pPr>
              <w:shd w:val="clear" w:color="auto" w:fill="FFFFFF"/>
              <w:rPr>
                <w:rFonts w:ascii="Arial Nova" w:hAnsi="Arial Nova"/>
                <w:lang w:val="uk-UA"/>
              </w:rPr>
            </w:pPr>
          </w:p>
        </w:tc>
      </w:tr>
    </w:tbl>
    <w:p w:rsidR="0051048D" w:rsidRPr="0051048D" w:rsidRDefault="0051048D" w:rsidP="0051048D"/>
    <w:p w:rsidR="0051048D" w:rsidRPr="0051048D" w:rsidRDefault="0051048D" w:rsidP="0051048D"/>
    <w:sectPr w:rsidR="0051048D" w:rsidRPr="0051048D" w:rsidSect="00886451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8D" w:rsidRDefault="0051048D" w:rsidP="0051048D">
      <w:r>
        <w:separator/>
      </w:r>
    </w:p>
  </w:endnote>
  <w:endnote w:type="continuationSeparator" w:id="0">
    <w:p w:rsidR="0051048D" w:rsidRDefault="0051048D" w:rsidP="0051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8D" w:rsidRPr="0051048D" w:rsidRDefault="0051048D" w:rsidP="0051048D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8D" w:rsidRDefault="0051048D" w:rsidP="0051048D">
      <w:r>
        <w:separator/>
      </w:r>
    </w:p>
  </w:footnote>
  <w:footnote w:type="continuationSeparator" w:id="0">
    <w:p w:rsidR="0051048D" w:rsidRDefault="0051048D" w:rsidP="0051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7"/>
    <w:rsid w:val="003572C2"/>
    <w:rsid w:val="0051048D"/>
    <w:rsid w:val="005C1136"/>
    <w:rsid w:val="007D57B5"/>
    <w:rsid w:val="00886451"/>
    <w:rsid w:val="00BB6C77"/>
    <w:rsid w:val="00CA27D1"/>
    <w:rsid w:val="00D46F57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94499-FB0B-4537-818D-DEC08CD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6F57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46F57"/>
    <w:rPr>
      <w:rFonts w:ascii="Courier New" w:eastAsia="Times New Roman" w:hAnsi="Courier New" w:cs="Times New Roman"/>
      <w:sz w:val="24"/>
      <w:szCs w:val="20"/>
      <w:lang w:val="en-GB" w:eastAsia="x-none"/>
    </w:rPr>
  </w:style>
  <w:style w:type="paragraph" w:styleId="Stopka">
    <w:name w:val="footer"/>
    <w:basedOn w:val="Normalny"/>
    <w:link w:val="StopkaZnak"/>
    <w:uiPriority w:val="99"/>
    <w:unhideWhenUsed/>
    <w:rsid w:val="0051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B6C7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rsid w:val="00BB6C7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Pogrubienie">
    <w:name w:val="Strong"/>
    <w:qFormat/>
    <w:rsid w:val="00BB6C77"/>
    <w:rPr>
      <w:b/>
      <w:bCs/>
    </w:rPr>
  </w:style>
  <w:style w:type="character" w:styleId="Hipercze">
    <w:name w:val="Hyperlink"/>
    <w:uiPriority w:val="99"/>
    <w:rsid w:val="00BB6C77"/>
    <w:rPr>
      <w:color w:val="0000FF"/>
      <w:u w:val="single"/>
    </w:rPr>
  </w:style>
  <w:style w:type="character" w:styleId="Uwydatnienie">
    <w:name w:val="Emphasis"/>
    <w:uiPriority w:val="20"/>
    <w:qFormat/>
    <w:rsid w:val="00BB6C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4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4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w-cms.test.aspello.pl/cudzoziemcy-pobyt/zezwolenia-na-pobyt-staly/" TargetMode="External"/><Relationship Id="rId13" Type="http://schemas.openxmlformats.org/officeDocument/2006/relationships/hyperlink" Target="http://duw-cms.test.aspello.pl/cudzoziemcy-pobyt/wydanie-wymiana-karty-pobytu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uw-cms.test.aspello.pl/cudzoziemcy-pobyt/zezwolenia-na-pobyt-czasowy/" TargetMode="External"/><Relationship Id="rId12" Type="http://schemas.openxmlformats.org/officeDocument/2006/relationships/hyperlink" Target="http://duw-cms.test.aspello.pl/cudzoziemcy-pobyt/przedluzenie-wizy-krajowej-schengen/" TargetMode="External"/><Relationship Id="rId17" Type="http://schemas.openxmlformats.org/officeDocument/2006/relationships/hyperlink" Target="http://duw-cms.test.aspello.pl/cudzoziemcy-pobyt/otrzymanie-pieczatki-do-paszport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w-cms.test.aspello.pl/cudzoziemcy-pobyt/polskie-dokumenty-wydawane-cudzoziem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uw-cms.test.aspello.pl/cudzoziemcy-pobyt/zezwolenie-na-pobyt-rezydenta-dlugoterminowego-u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uw-cms.test.aspello.pl/cudzoziemcy-pobyt/prawo-stalego-pobytu-obywatela-unii-europejskiej/" TargetMode="External"/><Relationship Id="rId10" Type="http://schemas.openxmlformats.org/officeDocument/2006/relationships/hyperlink" Target="http://duw-cms.test.aspello.pl/cudzoziemcy-pobyt/karta-polaka-swiadczenia-pieniezn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uw-cms.test.aspello.pl/cudzoziemcy-pobyt/pobyt-staly-karta-polaka/" TargetMode="External"/><Relationship Id="rId14" Type="http://schemas.openxmlformats.org/officeDocument/2006/relationships/hyperlink" Target="http://duw-cms.test.aspello.pl/cudzoziemcy-pobyt/rejestracja-pobytu-obywatela-unii-europejski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dc:description/>
  <cp:lastModifiedBy>PSZ</cp:lastModifiedBy>
  <cp:revision>6</cp:revision>
  <dcterms:created xsi:type="dcterms:W3CDTF">2018-11-06T21:32:00Z</dcterms:created>
  <dcterms:modified xsi:type="dcterms:W3CDTF">2018-11-07T00:19:00Z</dcterms:modified>
</cp:coreProperties>
</file>